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888B8">
      <w:pPr>
        <w:rPr>
          <w:rFonts w:ascii="仿宋_GB2312" w:hAnsi="Arial" w:eastAsia="仿宋_GB2312" w:cs="Arial"/>
          <w:b/>
          <w:sz w:val="30"/>
          <w:szCs w:val="30"/>
        </w:rPr>
      </w:pPr>
      <w:r>
        <w:rPr>
          <w:rFonts w:hint="eastAsia" w:ascii="宋体" w:hAnsi="宋体" w:cs="Arial"/>
          <w:b/>
          <w:sz w:val="32"/>
          <w:szCs w:val="32"/>
        </w:rPr>
        <w:t xml:space="preserve">附件1 </w:t>
      </w:r>
    </w:p>
    <w:p w14:paraId="5389469C">
      <w:pPr>
        <w:spacing w:line="600" w:lineRule="exact"/>
        <w:jc w:val="center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博士研究生申请人综合能力评价表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89"/>
        <w:gridCol w:w="4994"/>
        <w:gridCol w:w="850"/>
        <w:gridCol w:w="1063"/>
      </w:tblGrid>
      <w:tr w14:paraId="41CA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3" w:type="dxa"/>
            <w:vMerge w:val="restart"/>
            <w:vAlign w:val="center"/>
          </w:tcPr>
          <w:p w14:paraId="12321DD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硕士阶段</w:t>
            </w:r>
          </w:p>
        </w:tc>
        <w:tc>
          <w:tcPr>
            <w:tcW w:w="889" w:type="dxa"/>
            <w:vAlign w:val="center"/>
          </w:tcPr>
          <w:p w14:paraId="20432689">
            <w:pPr>
              <w:spacing w:line="360" w:lineRule="auto"/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4994" w:type="dxa"/>
            <w:vAlign w:val="center"/>
          </w:tcPr>
          <w:p w14:paraId="77F8653B">
            <w:pPr>
              <w:spacing w:line="360" w:lineRule="auto"/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考核项目</w:t>
            </w:r>
          </w:p>
        </w:tc>
        <w:tc>
          <w:tcPr>
            <w:tcW w:w="850" w:type="dxa"/>
            <w:vAlign w:val="center"/>
          </w:tcPr>
          <w:p w14:paraId="0CFAF253">
            <w:pPr>
              <w:spacing w:line="360" w:lineRule="auto"/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分值</w:t>
            </w:r>
          </w:p>
        </w:tc>
        <w:tc>
          <w:tcPr>
            <w:tcW w:w="1063" w:type="dxa"/>
            <w:vAlign w:val="center"/>
          </w:tcPr>
          <w:p w14:paraId="090436FA">
            <w:pPr>
              <w:spacing w:line="360" w:lineRule="auto"/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实得分</w:t>
            </w:r>
          </w:p>
        </w:tc>
      </w:tr>
      <w:tr w14:paraId="6338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exact"/>
          <w:jc w:val="center"/>
        </w:trPr>
        <w:tc>
          <w:tcPr>
            <w:tcW w:w="633" w:type="dxa"/>
            <w:vMerge w:val="continue"/>
            <w:vAlign w:val="center"/>
          </w:tcPr>
          <w:p w14:paraId="10EE6E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247D6522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</w:t>
            </w:r>
          </w:p>
        </w:tc>
        <w:tc>
          <w:tcPr>
            <w:tcW w:w="4994" w:type="dxa"/>
            <w:vAlign w:val="center"/>
          </w:tcPr>
          <w:p w14:paraId="70589052">
            <w:pPr>
              <w:ind w:right="-105" w:rightChars="-5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论文选题和实验设计（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论文选题：</w:t>
            </w:r>
            <w:r>
              <w:rPr>
                <w:rFonts w:hint="eastAsia" w:ascii="宋体" w:hAnsi="宋体"/>
                <w:kern w:val="0"/>
                <w:szCs w:val="21"/>
              </w:rPr>
              <w:t>接触学科前沿且有较大的理论意义和实用价值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-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分；有理论意义和实用价值，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-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分；有一定的理论意义和实用价值，0-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分。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实验设计：</w:t>
            </w:r>
            <w:r>
              <w:rPr>
                <w:rFonts w:hint="eastAsia" w:ascii="宋体" w:hAnsi="宋体"/>
                <w:kern w:val="0"/>
                <w:szCs w:val="21"/>
              </w:rPr>
              <w:t>设计正确、周密，逻辑性强，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-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分；设计正确，逻辑性较强，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-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分；设计较正确，逻辑性较差，0-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分）</w:t>
            </w:r>
          </w:p>
        </w:tc>
        <w:tc>
          <w:tcPr>
            <w:tcW w:w="850" w:type="dxa"/>
            <w:vAlign w:val="center"/>
          </w:tcPr>
          <w:p w14:paraId="6776472E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</w:t>
            </w:r>
            <w:r>
              <w:rPr>
                <w:rFonts w:hint="eastAsia" w:hAnsi="宋体"/>
                <w:b/>
                <w:sz w:val="28"/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7E26F2C7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4238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633" w:type="dxa"/>
            <w:vMerge w:val="continue"/>
            <w:vAlign w:val="center"/>
          </w:tcPr>
          <w:p w14:paraId="02F46F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4840EE44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2</w:t>
            </w:r>
          </w:p>
        </w:tc>
        <w:tc>
          <w:tcPr>
            <w:tcW w:w="4994" w:type="dxa"/>
            <w:vAlign w:val="center"/>
          </w:tcPr>
          <w:p w14:paraId="644D9C1E">
            <w:pPr>
              <w:ind w:right="-105" w:rightChars="-5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数据处理与分析（</w:t>
            </w:r>
            <w:r>
              <w:rPr>
                <w:rFonts w:hint="eastAsia" w:ascii="宋体" w:hAnsi="宋体"/>
                <w:kern w:val="0"/>
                <w:szCs w:val="21"/>
              </w:rPr>
              <w:t>运算方法先进，技巧熟练，模拟运算结果可靠，8-10分；运算方法先进，技巧较熟练，模拟运算结果可靠，5-</w:t>
            </w: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kern w:val="0"/>
                <w:szCs w:val="21"/>
              </w:rPr>
              <w:t>分；掌握运算方法，模拟运算结果基本正确，0-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1116655B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1</w:t>
            </w:r>
            <w:r>
              <w:rPr>
                <w:rFonts w:hAnsi="宋体"/>
                <w:b/>
                <w:sz w:val="28"/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7C36CB5D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452A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exact"/>
          <w:jc w:val="center"/>
        </w:trPr>
        <w:tc>
          <w:tcPr>
            <w:tcW w:w="633" w:type="dxa"/>
            <w:vMerge w:val="continue"/>
            <w:vAlign w:val="center"/>
          </w:tcPr>
          <w:p w14:paraId="2D70D5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22B1E26A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3</w:t>
            </w:r>
          </w:p>
        </w:tc>
        <w:tc>
          <w:tcPr>
            <w:tcW w:w="4994" w:type="dxa"/>
            <w:vAlign w:val="center"/>
          </w:tcPr>
          <w:p w14:paraId="1BFEABF7">
            <w:pPr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写作能力（</w:t>
            </w:r>
            <w:r>
              <w:rPr>
                <w:rFonts w:hint="eastAsia" w:ascii="宋体" w:hAnsi="宋体"/>
                <w:kern w:val="0"/>
                <w:szCs w:val="21"/>
              </w:rPr>
              <w:t>条理清晰，文笔流畅，层次分明，说理透彻，逻辑性强，8-10分；条理性好，文笔较好，层次清楚，说理透彻，有逻辑性，5-</w:t>
            </w: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kern w:val="0"/>
                <w:szCs w:val="21"/>
              </w:rPr>
              <w:t>分；写作能力尚可，0-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6D6330D8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10</w:t>
            </w:r>
          </w:p>
        </w:tc>
        <w:tc>
          <w:tcPr>
            <w:tcW w:w="1063" w:type="dxa"/>
            <w:vAlign w:val="center"/>
          </w:tcPr>
          <w:p w14:paraId="42AF0429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6F9B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2" w:hRule="exact"/>
          <w:jc w:val="center"/>
        </w:trPr>
        <w:tc>
          <w:tcPr>
            <w:tcW w:w="633" w:type="dxa"/>
            <w:vMerge w:val="continue"/>
            <w:vAlign w:val="center"/>
          </w:tcPr>
          <w:p w14:paraId="24DB1E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24E77D68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4</w:t>
            </w:r>
          </w:p>
        </w:tc>
        <w:tc>
          <w:tcPr>
            <w:tcW w:w="4994" w:type="dxa"/>
            <w:vAlign w:val="center"/>
          </w:tcPr>
          <w:p w14:paraId="6009A4D3">
            <w:pPr>
              <w:pStyle w:val="2"/>
              <w:autoSpaceDE w:val="0"/>
              <w:ind w:firstLine="0"/>
              <w:rPr>
                <w:rFonts w:ascii="宋体" w:hAnsi="宋体" w:eastAsiaTheme="minorEastAsia" w:cstheme="minorBidi"/>
                <w:kern w:val="0"/>
              </w:rPr>
            </w:pPr>
            <w:r>
              <w:rPr>
                <w:rFonts w:hint="eastAsia" w:hAnsi="宋体"/>
                <w:b/>
              </w:rPr>
              <w:t>科研产出成果（</w:t>
            </w:r>
            <w:r>
              <w:rPr>
                <w:rFonts w:hint="eastAsia" w:ascii="宋体" w:hAnsi="宋体" w:eastAsiaTheme="minorEastAsia" w:cstheme="minorBidi"/>
                <w:kern w:val="0"/>
              </w:rPr>
              <w:t>计分可累计，但总分不超过20分。</w:t>
            </w:r>
            <w:r>
              <w:rPr>
                <w:rFonts w:hint="eastAsia" w:ascii="宋体" w:hAnsi="宋体" w:eastAsiaTheme="minorEastAsia" w:cstheme="minorBidi"/>
                <w:b/>
                <w:kern w:val="0"/>
              </w:rPr>
              <w:t>SCI论文：</w:t>
            </w:r>
            <w:r>
              <w:rPr>
                <w:rFonts w:hint="eastAsia" w:ascii="宋体" w:hAnsi="宋体" w:eastAsiaTheme="minorEastAsia" w:cstheme="minorBidi"/>
                <w:kern w:val="0"/>
              </w:rPr>
              <w:t>中科院大类分区1区</w:t>
            </w:r>
            <w:r>
              <w:rPr>
                <w:rFonts w:hint="eastAsia" w:ascii="宋体" w:hAnsi="宋体"/>
                <w:kern w:val="0"/>
              </w:rPr>
              <w:t>且</w:t>
            </w:r>
            <w:r>
              <w:rPr>
                <w:rFonts w:hint="eastAsia" w:ascii="宋体" w:hAnsi="宋体" w:eastAsiaTheme="minorEastAsia" w:cstheme="minorBidi"/>
                <w:kern w:val="0"/>
              </w:rPr>
              <w:t>第一作者</w:t>
            </w:r>
            <w:r>
              <w:rPr>
                <w:rFonts w:hint="eastAsia" w:ascii="宋体" w:hAnsi="宋体"/>
                <w:kern w:val="0"/>
              </w:rPr>
              <w:t>，</w:t>
            </w:r>
            <w:r>
              <w:rPr>
                <w:rFonts w:hint="eastAsia" w:ascii="宋体" w:hAnsi="宋体" w:eastAsiaTheme="minorEastAsia" w:cstheme="minorBidi"/>
                <w:kern w:val="0"/>
              </w:rPr>
              <w:t>19-20分</w:t>
            </w:r>
            <w:r>
              <w:rPr>
                <w:rFonts w:hint="eastAsia" w:ascii="宋体" w:hAnsi="宋体"/>
                <w:kern w:val="0"/>
              </w:rPr>
              <w:t>；</w:t>
            </w:r>
            <w:r>
              <w:rPr>
                <w:rFonts w:hint="eastAsia" w:ascii="宋体" w:hAnsi="宋体" w:eastAsiaTheme="minorEastAsia" w:cstheme="minorBidi"/>
                <w:kern w:val="0"/>
              </w:rPr>
              <w:t>2区</w:t>
            </w:r>
            <w:r>
              <w:rPr>
                <w:rFonts w:hint="eastAsia" w:ascii="宋体" w:hAnsi="宋体"/>
                <w:kern w:val="0"/>
              </w:rPr>
              <w:t>且</w:t>
            </w:r>
            <w:r>
              <w:rPr>
                <w:rFonts w:hint="eastAsia" w:ascii="宋体" w:hAnsi="宋体" w:eastAsiaTheme="minorEastAsia" w:cstheme="minorBidi"/>
                <w:kern w:val="0"/>
              </w:rPr>
              <w:t>第一作者</w:t>
            </w:r>
            <w:r>
              <w:rPr>
                <w:rFonts w:hint="eastAsia" w:ascii="宋体" w:hAnsi="宋体"/>
                <w:kern w:val="0"/>
              </w:rPr>
              <w:t>，</w:t>
            </w:r>
            <w:r>
              <w:rPr>
                <w:rFonts w:hint="eastAsia" w:ascii="宋体" w:hAnsi="宋体" w:eastAsiaTheme="minorEastAsia" w:cstheme="minorBidi"/>
                <w:kern w:val="0"/>
              </w:rPr>
              <w:t>16-18分</w:t>
            </w:r>
            <w:r>
              <w:rPr>
                <w:rFonts w:hint="eastAsia" w:ascii="宋体" w:hAnsi="宋体"/>
                <w:kern w:val="0"/>
              </w:rPr>
              <w:t>；</w:t>
            </w:r>
            <w:r>
              <w:rPr>
                <w:rFonts w:hint="eastAsia" w:ascii="宋体" w:hAnsi="宋体" w:eastAsiaTheme="minorEastAsia" w:cstheme="minorBidi"/>
                <w:kern w:val="0"/>
              </w:rPr>
              <w:t>3区</w:t>
            </w:r>
            <w:r>
              <w:rPr>
                <w:rFonts w:hint="eastAsia" w:ascii="宋体" w:hAnsi="宋体"/>
                <w:kern w:val="0"/>
              </w:rPr>
              <w:t>且</w:t>
            </w:r>
            <w:r>
              <w:rPr>
                <w:rFonts w:hint="eastAsia" w:ascii="宋体" w:hAnsi="宋体" w:eastAsiaTheme="minorEastAsia" w:cstheme="minorBidi"/>
                <w:kern w:val="0"/>
              </w:rPr>
              <w:t>第一作者</w:t>
            </w:r>
            <w:r>
              <w:rPr>
                <w:rFonts w:hint="eastAsia" w:ascii="宋体" w:hAnsi="宋体"/>
                <w:kern w:val="0"/>
              </w:rPr>
              <w:t>，</w:t>
            </w:r>
            <w:r>
              <w:rPr>
                <w:rFonts w:hint="eastAsia" w:ascii="宋体" w:hAnsi="宋体" w:eastAsiaTheme="minorEastAsia" w:cstheme="minorBidi"/>
                <w:kern w:val="0"/>
              </w:rPr>
              <w:t>13-15分</w:t>
            </w:r>
            <w:r>
              <w:rPr>
                <w:rFonts w:hint="eastAsia" w:ascii="宋体" w:hAnsi="宋体"/>
                <w:kern w:val="0"/>
              </w:rPr>
              <w:t>；4</w:t>
            </w:r>
            <w:r>
              <w:rPr>
                <w:rFonts w:hint="eastAsia" w:ascii="宋体" w:hAnsi="宋体" w:eastAsiaTheme="minorEastAsia" w:cstheme="minorBidi"/>
                <w:kern w:val="0"/>
              </w:rPr>
              <w:t>区</w:t>
            </w:r>
            <w:r>
              <w:rPr>
                <w:rFonts w:hint="eastAsia" w:ascii="宋体" w:hAnsi="宋体"/>
                <w:kern w:val="0"/>
              </w:rPr>
              <w:t>和</w:t>
            </w:r>
            <w:r>
              <w:rPr>
                <w:rFonts w:hint="eastAsia" w:ascii="宋体" w:hAnsi="宋体" w:eastAsiaTheme="minorEastAsia" w:cstheme="minorBidi"/>
                <w:kern w:val="0"/>
              </w:rPr>
              <w:t>一级学报</w:t>
            </w:r>
            <w:r>
              <w:rPr>
                <w:rFonts w:hint="eastAsia" w:ascii="宋体" w:hAnsi="宋体"/>
                <w:kern w:val="0"/>
              </w:rPr>
              <w:t>且</w:t>
            </w:r>
            <w:r>
              <w:rPr>
                <w:rFonts w:hint="eastAsia" w:ascii="宋体" w:hAnsi="宋体" w:eastAsiaTheme="minorEastAsia" w:cstheme="minorBidi"/>
                <w:kern w:val="0"/>
              </w:rPr>
              <w:t>第一作者</w:t>
            </w:r>
            <w:r>
              <w:rPr>
                <w:rFonts w:hint="eastAsia" w:ascii="宋体" w:hAnsi="宋体"/>
                <w:kern w:val="0"/>
              </w:rPr>
              <w:t>，</w:t>
            </w:r>
            <w:r>
              <w:rPr>
                <w:rFonts w:hint="eastAsia" w:ascii="宋体" w:hAnsi="宋体" w:eastAsiaTheme="minorEastAsia" w:cstheme="minorBidi"/>
                <w:kern w:val="0"/>
              </w:rPr>
              <w:t>11-13分</w:t>
            </w:r>
            <w:r>
              <w:rPr>
                <w:rFonts w:hint="eastAsia" w:ascii="宋体" w:hAnsi="宋体"/>
                <w:kern w:val="0"/>
              </w:rPr>
              <w:t>；中文</w:t>
            </w:r>
            <w:r>
              <w:rPr>
                <w:rFonts w:hint="eastAsia" w:ascii="宋体" w:hAnsi="宋体" w:eastAsiaTheme="minorEastAsia" w:cstheme="minorBidi"/>
                <w:kern w:val="0"/>
              </w:rPr>
              <w:t>核心期刊</w:t>
            </w:r>
            <w:r>
              <w:rPr>
                <w:rFonts w:hint="eastAsia" w:ascii="宋体" w:hAnsi="宋体"/>
                <w:kern w:val="0"/>
              </w:rPr>
              <w:t>且</w:t>
            </w:r>
            <w:r>
              <w:rPr>
                <w:rFonts w:hint="eastAsia" w:ascii="宋体" w:hAnsi="宋体" w:eastAsiaTheme="minorEastAsia" w:cstheme="minorBidi"/>
                <w:kern w:val="0"/>
              </w:rPr>
              <w:t>第一作者</w:t>
            </w:r>
            <w:r>
              <w:rPr>
                <w:rFonts w:hint="eastAsia" w:ascii="宋体" w:hAnsi="宋体"/>
                <w:kern w:val="0"/>
              </w:rPr>
              <w:t>，</w:t>
            </w:r>
            <w:r>
              <w:rPr>
                <w:rFonts w:hint="eastAsia" w:ascii="宋体" w:hAnsi="宋体" w:eastAsiaTheme="minorEastAsia" w:cstheme="minorBidi"/>
                <w:kern w:val="0"/>
              </w:rPr>
              <w:t>8-10分。</w:t>
            </w:r>
            <w:r>
              <w:rPr>
                <w:rFonts w:hint="eastAsia" w:ascii="宋体" w:hAnsi="宋体" w:eastAsiaTheme="minorEastAsia" w:cstheme="minorBidi"/>
                <w:b/>
                <w:kern w:val="0"/>
              </w:rPr>
              <w:t>其他成果：</w:t>
            </w:r>
            <w:r>
              <w:rPr>
                <w:rFonts w:hint="eastAsia" w:ascii="宋体" w:hAnsi="宋体" w:eastAsiaTheme="minorEastAsia" w:cstheme="minorBidi"/>
                <w:kern w:val="0"/>
              </w:rPr>
              <w:t>国家发明专利，前三名加8分/项，其余加4分/项；实用新型专利，前三名加4分，其余加2分；参编撰写国家级出版社科技专著，每部加8分/部，省级出版社科技专著每部加6分/部；参加国家级科研项目，第一、二、三、四名依次加10分、6分、5分、4分，第五名及其以后不计分。</w:t>
            </w:r>
            <w:r>
              <w:rPr>
                <w:rFonts w:hint="eastAsia" w:ascii="宋体" w:hAnsi="宋体" w:eastAsiaTheme="minorEastAsia" w:cstheme="minorBidi"/>
                <w:b/>
                <w:kern w:val="0"/>
              </w:rPr>
              <w:t>执业兽医资格证：</w:t>
            </w:r>
            <w:r>
              <w:rPr>
                <w:rFonts w:hint="eastAsia" w:ascii="宋体" w:hAnsi="宋体" w:eastAsiaTheme="minorEastAsia" w:cstheme="minorBidi"/>
                <w:kern w:val="0"/>
              </w:rPr>
              <w:t>取得执业兽医资格证书10分。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</w:rPr>
              <w:t>会议报告</w:t>
            </w:r>
            <w:r>
              <w:rPr>
                <w:rFonts w:hint="eastAsia" w:ascii="宋体" w:hAnsi="宋体" w:eastAsiaTheme="minorEastAsia" w:cstheme="minorBidi"/>
                <w:kern w:val="0"/>
              </w:rPr>
              <w:t>：国际会议报告，4分/次，国内会议报告2分/次。）</w:t>
            </w:r>
          </w:p>
        </w:tc>
        <w:tc>
          <w:tcPr>
            <w:tcW w:w="850" w:type="dxa"/>
            <w:vAlign w:val="center"/>
          </w:tcPr>
          <w:p w14:paraId="5F4F1F39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20</w:t>
            </w:r>
          </w:p>
        </w:tc>
        <w:tc>
          <w:tcPr>
            <w:tcW w:w="1063" w:type="dxa"/>
            <w:vAlign w:val="center"/>
          </w:tcPr>
          <w:p w14:paraId="760728CA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0ACF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exact"/>
          <w:jc w:val="center"/>
        </w:trPr>
        <w:tc>
          <w:tcPr>
            <w:tcW w:w="633" w:type="dxa"/>
            <w:vMerge w:val="restart"/>
            <w:vAlign w:val="center"/>
          </w:tcPr>
          <w:p w14:paraId="250B45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博士阶段</w:t>
            </w:r>
          </w:p>
        </w:tc>
        <w:tc>
          <w:tcPr>
            <w:tcW w:w="889" w:type="dxa"/>
            <w:vAlign w:val="center"/>
          </w:tcPr>
          <w:p w14:paraId="7452A865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1</w:t>
            </w:r>
          </w:p>
        </w:tc>
        <w:tc>
          <w:tcPr>
            <w:tcW w:w="4994" w:type="dxa"/>
            <w:vAlign w:val="center"/>
          </w:tcPr>
          <w:p w14:paraId="44836AC5">
            <w:pPr>
              <w:ind w:right="-105" w:rightChars="-5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论文选题（</w:t>
            </w:r>
            <w:r>
              <w:rPr>
                <w:rFonts w:hint="eastAsia" w:ascii="宋体" w:hAnsi="宋体"/>
                <w:kern w:val="0"/>
                <w:szCs w:val="21"/>
              </w:rPr>
              <w:t>接触学科前沿且有较大的理论意义和实用价值8-10分；有理论意义和实用价值，5-</w:t>
            </w: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kern w:val="0"/>
                <w:szCs w:val="21"/>
              </w:rPr>
              <w:t>分；有一定的理论意义和实用价值，0-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488CED5E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</w:t>
            </w:r>
            <w:r>
              <w:rPr>
                <w:rFonts w:hint="eastAsia" w:hAnsi="宋体"/>
                <w:b/>
                <w:sz w:val="28"/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50E9896F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6B56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exact"/>
          <w:jc w:val="center"/>
        </w:trPr>
        <w:tc>
          <w:tcPr>
            <w:tcW w:w="633" w:type="dxa"/>
            <w:vMerge w:val="continue"/>
            <w:vAlign w:val="center"/>
          </w:tcPr>
          <w:p w14:paraId="7C15B9D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56C796FD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2</w:t>
            </w:r>
          </w:p>
        </w:tc>
        <w:tc>
          <w:tcPr>
            <w:tcW w:w="4994" w:type="dxa"/>
            <w:vAlign w:val="center"/>
          </w:tcPr>
          <w:p w14:paraId="5A53D1D9">
            <w:pPr>
              <w:ind w:right="-105" w:rightChars="-50"/>
              <w:rPr>
                <w:rFonts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研究内容（</w:t>
            </w:r>
            <w:r>
              <w:rPr>
                <w:rFonts w:hint="eastAsia" w:ascii="宋体" w:hAnsi="宋体"/>
                <w:kern w:val="0"/>
                <w:szCs w:val="21"/>
              </w:rPr>
              <w:t>研究内容层次分明，逻辑性强，8-</w:t>
            </w:r>
            <w:r>
              <w:rPr>
                <w:rFonts w:ascii="宋体" w:hAnsi="宋体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分；层次较分明，逻辑性较强，5-</w:t>
            </w: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kern w:val="0"/>
                <w:szCs w:val="21"/>
              </w:rPr>
              <w:t>分；层次不分明，逻辑性差，0-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分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3F53ADF6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15</w:t>
            </w:r>
          </w:p>
        </w:tc>
        <w:tc>
          <w:tcPr>
            <w:tcW w:w="1063" w:type="dxa"/>
            <w:vAlign w:val="center"/>
          </w:tcPr>
          <w:p w14:paraId="668E98EA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1B39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exact"/>
          <w:jc w:val="center"/>
        </w:trPr>
        <w:tc>
          <w:tcPr>
            <w:tcW w:w="633" w:type="dxa"/>
            <w:vMerge w:val="continue"/>
            <w:vAlign w:val="center"/>
          </w:tcPr>
          <w:p w14:paraId="2C518F7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379BD9C3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3</w:t>
            </w:r>
          </w:p>
        </w:tc>
        <w:tc>
          <w:tcPr>
            <w:tcW w:w="4994" w:type="dxa"/>
            <w:vAlign w:val="center"/>
          </w:tcPr>
          <w:p w14:paraId="38D46CB5">
            <w:pPr>
              <w:ind w:right="-105" w:rightChars="-50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研究方案（</w:t>
            </w:r>
            <w:r>
              <w:rPr>
                <w:rFonts w:hint="eastAsia" w:hAnsi="宋体"/>
                <w:bCs/>
                <w:szCs w:val="21"/>
              </w:rPr>
              <w:t>研究方案</w:t>
            </w:r>
            <w:r>
              <w:rPr>
                <w:rFonts w:hint="eastAsia" w:ascii="宋体" w:hAnsi="宋体" w:cs="Arial"/>
                <w:bCs/>
                <w:szCs w:val="21"/>
              </w:rPr>
              <w:t>详实、可行性强，</w:t>
            </w:r>
            <w:r>
              <w:rPr>
                <w:rFonts w:ascii="宋体" w:hAnsi="宋体" w:cs="Arial"/>
                <w:bCs/>
                <w:szCs w:val="21"/>
              </w:rPr>
              <w:t>8</w:t>
            </w:r>
            <w:r>
              <w:rPr>
                <w:rFonts w:hint="eastAsia" w:ascii="宋体" w:hAnsi="宋体" w:cs="Arial"/>
                <w:bCs/>
                <w:szCs w:val="21"/>
              </w:rPr>
              <w:t>-</w:t>
            </w:r>
            <w:r>
              <w:rPr>
                <w:rFonts w:ascii="宋体" w:hAnsi="宋体" w:cs="Arial"/>
                <w:bCs/>
                <w:szCs w:val="21"/>
              </w:rPr>
              <w:t>10</w:t>
            </w:r>
            <w:r>
              <w:rPr>
                <w:rFonts w:hint="eastAsia" w:ascii="宋体" w:hAnsi="宋体" w:cs="Arial"/>
                <w:bCs/>
                <w:szCs w:val="21"/>
              </w:rPr>
              <w:t>分；研究方案较详实，可行性较强，5-</w:t>
            </w:r>
            <w:r>
              <w:rPr>
                <w:rFonts w:ascii="宋体" w:hAnsi="宋体" w:cs="Arial"/>
                <w:bCs/>
                <w:szCs w:val="21"/>
              </w:rPr>
              <w:t>7</w:t>
            </w:r>
            <w:r>
              <w:rPr>
                <w:rFonts w:hint="eastAsia" w:ascii="宋体" w:hAnsi="宋体" w:cs="Arial"/>
                <w:bCs/>
                <w:szCs w:val="21"/>
              </w:rPr>
              <w:t>分；研究方案不详实，可行性差，0-</w:t>
            </w:r>
            <w:r>
              <w:rPr>
                <w:rFonts w:ascii="宋体" w:hAnsi="宋体" w:cs="Arial"/>
                <w:bCs/>
                <w:szCs w:val="21"/>
              </w:rPr>
              <w:t>4</w:t>
            </w:r>
            <w:r>
              <w:rPr>
                <w:rFonts w:hint="eastAsia" w:ascii="宋体" w:hAnsi="宋体" w:cs="Arial"/>
                <w:bCs/>
                <w:szCs w:val="21"/>
              </w:rPr>
              <w:t>分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2EC6E00E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1</w:t>
            </w:r>
            <w:r>
              <w:rPr>
                <w:rFonts w:hAnsi="宋体"/>
                <w:b/>
                <w:sz w:val="28"/>
                <w:szCs w:val="28"/>
              </w:rPr>
              <w:t>5</w:t>
            </w:r>
          </w:p>
        </w:tc>
        <w:tc>
          <w:tcPr>
            <w:tcW w:w="1063" w:type="dxa"/>
            <w:vAlign w:val="center"/>
          </w:tcPr>
          <w:p w14:paraId="6B74C3E2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1A11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  <w:jc w:val="center"/>
        </w:trPr>
        <w:tc>
          <w:tcPr>
            <w:tcW w:w="633" w:type="dxa"/>
            <w:vMerge w:val="continue"/>
            <w:vAlign w:val="center"/>
          </w:tcPr>
          <w:p w14:paraId="4F4E815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27504AD4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4</w:t>
            </w:r>
          </w:p>
        </w:tc>
        <w:tc>
          <w:tcPr>
            <w:tcW w:w="4994" w:type="dxa"/>
            <w:vAlign w:val="center"/>
          </w:tcPr>
          <w:p w14:paraId="5842EDFE">
            <w:pPr>
              <w:ind w:right="-105" w:rightChars="-5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创新性分析（</w:t>
            </w:r>
            <w:r>
              <w:rPr>
                <w:rFonts w:hint="eastAsia" w:hAnsi="宋体"/>
                <w:bCs/>
                <w:szCs w:val="21"/>
              </w:rPr>
              <w:t>研究课题具有显著创新性，8-</w:t>
            </w:r>
            <w:r>
              <w:rPr>
                <w:rFonts w:hAnsi="宋体"/>
                <w:bCs/>
                <w:szCs w:val="21"/>
              </w:rPr>
              <w:t>10</w:t>
            </w:r>
            <w:r>
              <w:rPr>
                <w:rFonts w:hint="eastAsia" w:hAnsi="宋体"/>
                <w:bCs/>
                <w:szCs w:val="21"/>
              </w:rPr>
              <w:t>分；具有创新性，5-</w:t>
            </w:r>
            <w:r>
              <w:rPr>
                <w:rFonts w:hAnsi="宋体"/>
                <w:bCs/>
                <w:szCs w:val="21"/>
              </w:rPr>
              <w:t>7</w:t>
            </w:r>
            <w:r>
              <w:rPr>
                <w:rFonts w:hint="eastAsia" w:hAnsi="宋体"/>
                <w:bCs/>
                <w:szCs w:val="21"/>
              </w:rPr>
              <w:t>分；没有创新性，0-</w:t>
            </w:r>
            <w:r>
              <w:rPr>
                <w:rFonts w:hAnsi="宋体"/>
                <w:bCs/>
                <w:szCs w:val="21"/>
              </w:rPr>
              <w:t>4</w:t>
            </w:r>
            <w:r>
              <w:rPr>
                <w:rFonts w:hint="eastAsia" w:hAnsi="宋体"/>
                <w:bCs/>
                <w:szCs w:val="21"/>
              </w:rPr>
              <w:t>分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775C0ACC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</w:t>
            </w:r>
            <w:r>
              <w:rPr>
                <w:rFonts w:hint="eastAsia" w:hAnsi="宋体"/>
                <w:b/>
                <w:sz w:val="28"/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581773FD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5749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exact"/>
          <w:jc w:val="center"/>
        </w:trPr>
        <w:tc>
          <w:tcPr>
            <w:tcW w:w="7366" w:type="dxa"/>
            <w:gridSpan w:val="4"/>
            <w:vAlign w:val="center"/>
          </w:tcPr>
          <w:p w14:paraId="738A39A4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综合得分</w:t>
            </w:r>
          </w:p>
        </w:tc>
        <w:tc>
          <w:tcPr>
            <w:tcW w:w="1063" w:type="dxa"/>
            <w:vAlign w:val="center"/>
          </w:tcPr>
          <w:p w14:paraId="586B5FC5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</w:tbl>
    <w:p w14:paraId="54A6FEAB">
      <w:pPr>
        <w:spacing w:line="600" w:lineRule="exact"/>
        <w:rPr>
          <w:rFonts w:ascii="黑体" w:hAnsi="黑体" w:eastAsia="黑体" w:cs="Arial"/>
          <w:sz w:val="32"/>
          <w:szCs w:val="32"/>
        </w:rPr>
      </w:pPr>
    </w:p>
    <w:p w14:paraId="37102DC8">
      <w:pPr>
        <w:spacing w:line="520" w:lineRule="exact"/>
        <w:jc w:val="left"/>
        <w:rPr>
          <w:rFonts w:ascii="仿宋_GB2312" w:hAnsi="Arial" w:eastAsia="仿宋_GB2312" w:cs="Arial"/>
          <w:sz w:val="28"/>
          <w:szCs w:val="28"/>
        </w:rPr>
      </w:pPr>
    </w:p>
    <w:p w14:paraId="5E5C2FD9">
      <w:pPr>
        <w:rPr>
          <w:rFonts w:ascii="宋体" w:hAnsi="宋体" w:cs="Arial"/>
          <w:sz w:val="32"/>
          <w:szCs w:val="32"/>
        </w:rPr>
      </w:pPr>
    </w:p>
    <w:p w14:paraId="6BF4B7EC">
      <w:pPr>
        <w:rPr>
          <w:rFonts w:ascii="宋体" w:hAnsi="宋体" w:cs="Arial"/>
          <w:sz w:val="32"/>
          <w:szCs w:val="32"/>
        </w:rPr>
      </w:pPr>
    </w:p>
    <w:p w14:paraId="2F4035B7">
      <w:pPr>
        <w:rPr>
          <w:rFonts w:ascii="宋体" w:hAnsi="宋体" w:cs="Arial"/>
          <w:sz w:val="32"/>
          <w:szCs w:val="32"/>
        </w:rPr>
      </w:pPr>
    </w:p>
    <w:p w14:paraId="13A0D6AE">
      <w:pPr>
        <w:rPr>
          <w:rFonts w:ascii="宋体" w:hAnsi="宋体" w:cs="Arial"/>
          <w:sz w:val="32"/>
          <w:szCs w:val="32"/>
        </w:rPr>
      </w:pPr>
    </w:p>
    <w:p w14:paraId="41087C07">
      <w:pPr>
        <w:rPr>
          <w:rFonts w:ascii="宋体" w:hAnsi="宋体" w:cs="Arial"/>
          <w:sz w:val="32"/>
          <w:szCs w:val="32"/>
        </w:rPr>
      </w:pPr>
    </w:p>
    <w:p w14:paraId="39CBB009">
      <w:pPr>
        <w:rPr>
          <w:rFonts w:ascii="宋体" w:hAnsi="宋体" w:cs="Arial"/>
          <w:sz w:val="32"/>
          <w:szCs w:val="32"/>
        </w:rPr>
      </w:pPr>
    </w:p>
    <w:p w14:paraId="7E480273">
      <w:pPr>
        <w:rPr>
          <w:rFonts w:ascii="宋体" w:hAnsi="宋体" w:cs="Arial"/>
          <w:sz w:val="32"/>
          <w:szCs w:val="32"/>
        </w:rPr>
      </w:pPr>
    </w:p>
    <w:p w14:paraId="1656A8BC">
      <w:pPr>
        <w:rPr>
          <w:rFonts w:ascii="宋体" w:hAnsi="宋体" w:cs="Arial"/>
          <w:sz w:val="32"/>
          <w:szCs w:val="32"/>
        </w:rPr>
      </w:pPr>
    </w:p>
    <w:p w14:paraId="566BD5A2">
      <w:pPr>
        <w:rPr>
          <w:rFonts w:ascii="宋体" w:hAnsi="宋体" w:cs="Arial"/>
          <w:sz w:val="32"/>
          <w:szCs w:val="32"/>
        </w:rPr>
      </w:pPr>
    </w:p>
    <w:p w14:paraId="465671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2025-01-20T07:33:39Z</dcterms:created>
  <dc:creator>DONGYIYUANBAN</dc:creator>
  <cp:lastModifiedBy>Carina</cp:lastModifiedBy>
  <dcterms:modified xsi:type="dcterms:W3CDTF">2025-01-20T07:34:00Z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eyJoZGlkIjoiZmUxM2IzZWMyM2Y4Mzk2Y2RkNGYyMzc0MGY4MGYwZDUiLCJ1c2VySWQiOiI2Njc2NjI0MTEifQ==</vt:lpwstr>
  </property>
  <property fmtid="{D5CDD505-2E9C-101B-9397-08002B2CF9AE}" pid="4" name="ICV">
    <vt:lpwstr>60B9CC7AF02049648EAAD5940FDFC24E_12</vt:lpwstr>
  </property>
</Properties>
</file>